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9D2" w:rsidRPr="002C707F" w:rsidRDefault="002919D2" w:rsidP="002C707F">
      <w:pPr>
        <w:jc w:val="both"/>
        <w:rPr>
          <w:rFonts w:ascii="Verdana" w:hAnsi="Verdana"/>
          <w:sz w:val="20"/>
        </w:rPr>
      </w:pPr>
    </w:p>
    <w:p w:rsidR="00E06403" w:rsidRDefault="002919D2" w:rsidP="002C707F">
      <w:pPr>
        <w:jc w:val="both"/>
        <w:rPr>
          <w:rFonts w:ascii="Verdana" w:hAnsi="Verdana"/>
          <w:sz w:val="20"/>
        </w:rPr>
      </w:pPr>
      <w:r w:rsidRPr="002C707F">
        <w:rPr>
          <w:rFonts w:ascii="Verdana" w:hAnsi="Verdana"/>
          <w:sz w:val="20"/>
        </w:rPr>
        <w:t xml:space="preserve">Dem Patienten steht grundsätzlich ein Anspruch auf Einsichtnahme in seine Krankenunterlagen und Auskunft über sie als nebenvertraglicher Anspruch aus dem Behandlungsvertrag zu </w:t>
      </w:r>
    </w:p>
    <w:p w:rsidR="002919D2" w:rsidRPr="002C707F" w:rsidRDefault="002919D2" w:rsidP="002C707F">
      <w:pPr>
        <w:jc w:val="both"/>
        <w:rPr>
          <w:rFonts w:ascii="Verdana" w:hAnsi="Verdana"/>
          <w:sz w:val="20"/>
        </w:rPr>
      </w:pPr>
      <w:r w:rsidRPr="002C707F">
        <w:rPr>
          <w:rFonts w:ascii="Verdana" w:hAnsi="Verdana"/>
          <w:sz w:val="20"/>
        </w:rPr>
        <w:t>(</w:t>
      </w:r>
      <w:r w:rsidR="00E06403">
        <w:rPr>
          <w:rFonts w:ascii="Verdana" w:hAnsi="Verdana"/>
          <w:sz w:val="20"/>
        </w:rPr>
        <w:t xml:space="preserve">§ 10 Abs. 2 </w:t>
      </w:r>
      <w:r w:rsidR="0032474A">
        <w:rPr>
          <w:rFonts w:ascii="Verdana" w:hAnsi="Verdana"/>
          <w:sz w:val="20"/>
        </w:rPr>
        <w:t xml:space="preserve">Berufsordnung </w:t>
      </w:r>
      <w:r w:rsidR="00E06403">
        <w:rPr>
          <w:rFonts w:ascii="Verdana" w:hAnsi="Verdana"/>
          <w:sz w:val="20"/>
        </w:rPr>
        <w:t xml:space="preserve">der </w:t>
      </w:r>
      <w:r w:rsidR="0032474A">
        <w:rPr>
          <w:rFonts w:ascii="Verdana" w:hAnsi="Verdana"/>
          <w:sz w:val="20"/>
        </w:rPr>
        <w:t>Thüringer Zahnärzte</w:t>
      </w:r>
      <w:r w:rsidR="00E06403">
        <w:rPr>
          <w:rFonts w:ascii="Verdana" w:hAnsi="Verdana"/>
          <w:sz w:val="20"/>
        </w:rPr>
        <w:t xml:space="preserve"> und </w:t>
      </w:r>
      <w:r w:rsidR="0032474A">
        <w:rPr>
          <w:rFonts w:ascii="Verdana" w:hAnsi="Verdana"/>
          <w:sz w:val="20"/>
        </w:rPr>
        <w:t xml:space="preserve">Patientenrechtegesetz </w:t>
      </w:r>
      <w:r w:rsidR="00E06403">
        <w:rPr>
          <w:rFonts w:ascii="Verdana" w:hAnsi="Verdana"/>
          <w:sz w:val="20"/>
        </w:rPr>
        <w:t xml:space="preserve">§ 630g Abs. 1 BGB </w:t>
      </w:r>
      <w:r w:rsidR="0032474A">
        <w:rPr>
          <w:rFonts w:ascii="Verdana" w:hAnsi="Verdana"/>
          <w:sz w:val="20"/>
        </w:rPr>
        <w:t>v. 2013</w:t>
      </w:r>
      <w:r w:rsidRPr="002C707F">
        <w:rPr>
          <w:rFonts w:ascii="Verdana" w:hAnsi="Verdana"/>
          <w:sz w:val="20"/>
        </w:rPr>
        <w:t xml:space="preserve">). </w:t>
      </w:r>
    </w:p>
    <w:p w:rsidR="00A44349" w:rsidRDefault="00A44349" w:rsidP="002C707F">
      <w:pPr>
        <w:jc w:val="both"/>
        <w:rPr>
          <w:rFonts w:ascii="Verdana" w:hAnsi="Verdana"/>
          <w:sz w:val="20"/>
        </w:rPr>
      </w:pPr>
    </w:p>
    <w:p w:rsidR="00E06403" w:rsidRDefault="002919D2" w:rsidP="002C707F">
      <w:pPr>
        <w:jc w:val="both"/>
        <w:rPr>
          <w:rFonts w:ascii="Verdana" w:hAnsi="Verdana"/>
          <w:sz w:val="20"/>
        </w:rPr>
      </w:pPr>
      <w:r w:rsidRPr="002C707F">
        <w:rPr>
          <w:rFonts w:ascii="Verdana" w:hAnsi="Verdana"/>
          <w:sz w:val="20"/>
        </w:rPr>
        <w:t xml:space="preserve">Der Patient hat die Möglichkeit, das Einsichtsrecht dadurch auszuüben, indem er </w:t>
      </w:r>
      <w:r w:rsidR="00E06403">
        <w:rPr>
          <w:rFonts w:ascii="Verdana" w:hAnsi="Verdana"/>
          <w:sz w:val="20"/>
        </w:rPr>
        <w:t xml:space="preserve">die Einsichtnahme direkt vor Ort ausführt, </w:t>
      </w:r>
      <w:r w:rsidRPr="002C707F">
        <w:rPr>
          <w:rFonts w:ascii="Verdana" w:hAnsi="Verdana"/>
          <w:sz w:val="20"/>
        </w:rPr>
        <w:t>sich Kopien von der Patientendokumentation fertigen lässt</w:t>
      </w:r>
      <w:r w:rsidR="00E06403">
        <w:rPr>
          <w:rFonts w:ascii="Verdana" w:hAnsi="Verdana"/>
          <w:sz w:val="20"/>
        </w:rPr>
        <w:t xml:space="preserve"> oder, bei Führung einer elektronischen Patientenakte, diese auch elektronisch zu </w:t>
      </w:r>
      <w:r w:rsidR="00373132">
        <w:rPr>
          <w:rFonts w:ascii="Verdana" w:hAnsi="Verdana"/>
          <w:sz w:val="20"/>
        </w:rPr>
        <w:t>erhalten</w:t>
      </w:r>
      <w:r w:rsidRPr="002C707F">
        <w:rPr>
          <w:rFonts w:ascii="Verdana" w:hAnsi="Verdana"/>
          <w:sz w:val="20"/>
        </w:rPr>
        <w:t xml:space="preserve">. </w:t>
      </w:r>
    </w:p>
    <w:p w:rsidR="002919D2" w:rsidRDefault="002919D2" w:rsidP="002C707F">
      <w:pPr>
        <w:jc w:val="both"/>
        <w:rPr>
          <w:rFonts w:ascii="Verdana" w:hAnsi="Verdana"/>
          <w:sz w:val="20"/>
        </w:rPr>
      </w:pPr>
      <w:r w:rsidRPr="002C707F">
        <w:rPr>
          <w:rFonts w:ascii="Verdana" w:hAnsi="Verdana"/>
          <w:sz w:val="20"/>
        </w:rPr>
        <w:t xml:space="preserve">Auf Verlangen sind dem Patienten </w:t>
      </w:r>
      <w:r w:rsidR="00E06403">
        <w:rPr>
          <w:rFonts w:ascii="Verdana" w:hAnsi="Verdana"/>
          <w:sz w:val="20"/>
        </w:rPr>
        <w:t xml:space="preserve">damit </w:t>
      </w:r>
      <w:r w:rsidRPr="002C707F">
        <w:rPr>
          <w:rFonts w:ascii="Verdana" w:hAnsi="Verdana"/>
          <w:sz w:val="20"/>
        </w:rPr>
        <w:t>Unterlagen gegen Erstattung der Kosten herauszugeben (§ 6</w:t>
      </w:r>
      <w:r w:rsidR="00E06403">
        <w:rPr>
          <w:rFonts w:ascii="Verdana" w:hAnsi="Verdana"/>
          <w:sz w:val="20"/>
        </w:rPr>
        <w:t>30g Abs. 2 Satz 2 BGB und</w:t>
      </w:r>
      <w:r w:rsidR="00373132">
        <w:rPr>
          <w:rFonts w:ascii="Verdana" w:hAnsi="Verdana"/>
          <w:sz w:val="20"/>
        </w:rPr>
        <w:t xml:space="preserve"> § 12</w:t>
      </w:r>
      <w:r w:rsidRPr="002C707F">
        <w:rPr>
          <w:rFonts w:ascii="Verdana" w:hAnsi="Verdana"/>
          <w:sz w:val="20"/>
        </w:rPr>
        <w:t xml:space="preserve"> Abs. 4 der Berufsordnung</w:t>
      </w:r>
      <w:r w:rsidR="00373132">
        <w:rPr>
          <w:rFonts w:ascii="Verdana" w:hAnsi="Verdana"/>
          <w:sz w:val="20"/>
        </w:rPr>
        <w:t xml:space="preserve"> für Thüringer Zahnärzte).</w:t>
      </w:r>
    </w:p>
    <w:p w:rsidR="008775AB" w:rsidRDefault="008775AB" w:rsidP="002C707F">
      <w:pPr>
        <w:jc w:val="both"/>
        <w:rPr>
          <w:rFonts w:ascii="Verdana" w:hAnsi="Verdana"/>
          <w:sz w:val="20"/>
        </w:rPr>
      </w:pPr>
    </w:p>
    <w:p w:rsidR="002919D2" w:rsidRDefault="002919D2" w:rsidP="002C707F">
      <w:pPr>
        <w:jc w:val="both"/>
        <w:rPr>
          <w:rFonts w:ascii="Verdana" w:hAnsi="Verdana"/>
          <w:sz w:val="20"/>
        </w:rPr>
      </w:pPr>
      <w:r w:rsidRPr="002C707F">
        <w:rPr>
          <w:rFonts w:ascii="Verdana" w:hAnsi="Verdana"/>
          <w:sz w:val="20"/>
        </w:rPr>
        <w:t>Der Zahnarzt ist verpflichtet,</w:t>
      </w:r>
      <w:r w:rsidR="008775AB">
        <w:rPr>
          <w:rFonts w:ascii="Verdana" w:hAnsi="Verdana"/>
          <w:sz w:val="20"/>
        </w:rPr>
        <w:t xml:space="preserve"> dem Patienten dieses</w:t>
      </w:r>
      <w:r w:rsidRPr="002C707F">
        <w:rPr>
          <w:rFonts w:ascii="Verdana" w:hAnsi="Verdana"/>
          <w:sz w:val="20"/>
        </w:rPr>
        <w:t xml:space="preserve"> Einsicht</w:t>
      </w:r>
      <w:r w:rsidR="008775AB">
        <w:rPr>
          <w:rFonts w:ascii="Verdana" w:hAnsi="Verdana"/>
          <w:sz w:val="20"/>
        </w:rPr>
        <w:t>s</w:t>
      </w:r>
      <w:r w:rsidRPr="002C707F">
        <w:rPr>
          <w:rFonts w:ascii="Verdana" w:hAnsi="Verdana"/>
          <w:sz w:val="20"/>
        </w:rPr>
        <w:t>recht zu gewähren</w:t>
      </w:r>
      <w:r w:rsidR="00373132">
        <w:rPr>
          <w:rFonts w:ascii="Verdana" w:hAnsi="Verdana"/>
          <w:sz w:val="20"/>
        </w:rPr>
        <w:t>.</w:t>
      </w:r>
    </w:p>
    <w:p w:rsidR="008775AB" w:rsidRDefault="008775AB" w:rsidP="002C707F">
      <w:pPr>
        <w:jc w:val="both"/>
        <w:rPr>
          <w:rFonts w:ascii="Verdana" w:hAnsi="Verdana"/>
          <w:sz w:val="20"/>
        </w:rPr>
      </w:pPr>
    </w:p>
    <w:p w:rsidR="008775AB" w:rsidRPr="008775AB" w:rsidRDefault="008775AB" w:rsidP="002C707F">
      <w:pPr>
        <w:jc w:val="both"/>
        <w:rPr>
          <w:rFonts w:ascii="Verdana" w:hAnsi="Verdana"/>
          <w:b/>
          <w:sz w:val="20"/>
        </w:rPr>
      </w:pPr>
      <w:r w:rsidRPr="008775AB">
        <w:rPr>
          <w:rFonts w:ascii="Verdana" w:hAnsi="Verdana"/>
          <w:b/>
          <w:sz w:val="20"/>
        </w:rPr>
        <w:t>Seit Inkrafttreten der europäischen Datenschutzgrundverordnung (DSGVO) besteht auch im Datenschutzrecht eine Regelung zur Einsichtnahme und zum Anspruch auf Kopien der Patiente</w:t>
      </w:r>
      <w:r>
        <w:rPr>
          <w:rFonts w:ascii="Verdana" w:hAnsi="Verdana"/>
          <w:b/>
          <w:sz w:val="20"/>
        </w:rPr>
        <w:t xml:space="preserve">nakte. Allerdings ist hier die </w:t>
      </w:r>
      <w:r w:rsidRPr="008775AB">
        <w:rPr>
          <w:rFonts w:ascii="Verdana" w:hAnsi="Verdana"/>
          <w:b/>
          <w:sz w:val="20"/>
          <w:u w:val="single"/>
        </w:rPr>
        <w:t>erste</w:t>
      </w:r>
      <w:r w:rsidRPr="008775AB">
        <w:rPr>
          <w:rFonts w:ascii="Verdana" w:hAnsi="Verdana"/>
          <w:b/>
          <w:sz w:val="20"/>
        </w:rPr>
        <w:t xml:space="preserve"> Kopie dem Patienten unentgeltlich zur Verfügung zu stellen.</w:t>
      </w:r>
    </w:p>
    <w:p w:rsidR="00A44349" w:rsidRDefault="00A44349" w:rsidP="002C707F">
      <w:pPr>
        <w:pStyle w:val="Kopfzeile"/>
        <w:tabs>
          <w:tab w:val="clear" w:pos="4536"/>
          <w:tab w:val="clear" w:pos="9072"/>
        </w:tabs>
        <w:jc w:val="both"/>
        <w:rPr>
          <w:rFonts w:ascii="Verdana" w:hAnsi="Verdana"/>
          <w:sz w:val="20"/>
        </w:rPr>
      </w:pPr>
    </w:p>
    <w:p w:rsidR="002919D2" w:rsidRPr="002C707F" w:rsidRDefault="002919D2" w:rsidP="002C707F">
      <w:pPr>
        <w:pStyle w:val="Kopfzeile"/>
        <w:tabs>
          <w:tab w:val="clear" w:pos="4536"/>
          <w:tab w:val="clear" w:pos="9072"/>
        </w:tabs>
        <w:jc w:val="both"/>
        <w:rPr>
          <w:rFonts w:ascii="Verdana" w:hAnsi="Verdana"/>
          <w:sz w:val="20"/>
        </w:rPr>
      </w:pPr>
      <w:r w:rsidRPr="002C707F">
        <w:rPr>
          <w:rFonts w:ascii="Verdana" w:hAnsi="Verdana"/>
          <w:sz w:val="20"/>
        </w:rPr>
        <w:t xml:space="preserve">Ein Herausgabeanspruch für die Originale besteht hingegen grundsätzlich nicht, da die Patientendokumentation im Eigentum des Zahnarztes steht, der die Dokumentation gefertigt hat und diesbezüglich auch aufbewahrungspflichtig ist. </w:t>
      </w:r>
    </w:p>
    <w:p w:rsidR="002919D2" w:rsidRDefault="002919D2" w:rsidP="002C707F">
      <w:pPr>
        <w:pStyle w:val="Kopfzeile"/>
        <w:tabs>
          <w:tab w:val="clear" w:pos="4536"/>
          <w:tab w:val="clear" w:pos="9072"/>
        </w:tabs>
        <w:jc w:val="both"/>
        <w:rPr>
          <w:rFonts w:ascii="Verdana" w:hAnsi="Verdana"/>
          <w:sz w:val="20"/>
        </w:rPr>
      </w:pPr>
      <w:r w:rsidRPr="002C707F">
        <w:rPr>
          <w:rFonts w:ascii="Verdana" w:hAnsi="Verdana"/>
          <w:sz w:val="20"/>
        </w:rPr>
        <w:t xml:space="preserve">Der Zahnarzt ist jedoch auf Grundlage der Berufsordnung und wiederum als Nebenpflicht aus dem Behandlungsvertrag verpflichtet, einem mit-, weiter- oder nachbehandelnden Kollegen die Originale (z.B. Röntgenaufnahmen) vorübergehend zu </w:t>
      </w:r>
      <w:proofErr w:type="gramStart"/>
      <w:r w:rsidRPr="002C707F">
        <w:rPr>
          <w:rFonts w:ascii="Verdana" w:hAnsi="Verdana"/>
          <w:sz w:val="20"/>
        </w:rPr>
        <w:t>überlassen</w:t>
      </w:r>
      <w:proofErr w:type="gramEnd"/>
      <w:r w:rsidRPr="002C707F">
        <w:rPr>
          <w:rFonts w:ascii="Verdana" w:hAnsi="Verdana"/>
          <w:sz w:val="20"/>
        </w:rPr>
        <w:t xml:space="preserve"> wenn eine Schweigepflichtentbindung des Patienten vorliegt. </w:t>
      </w:r>
    </w:p>
    <w:p w:rsidR="008775AB" w:rsidRPr="002C707F" w:rsidRDefault="008775AB" w:rsidP="002C707F">
      <w:pPr>
        <w:pStyle w:val="Kopfzeile"/>
        <w:tabs>
          <w:tab w:val="clear" w:pos="4536"/>
          <w:tab w:val="clear" w:pos="9072"/>
        </w:tabs>
        <w:jc w:val="both"/>
        <w:rPr>
          <w:rFonts w:ascii="Verdana" w:hAnsi="Verdana"/>
          <w:sz w:val="20"/>
        </w:rPr>
      </w:pPr>
    </w:p>
    <w:p w:rsidR="002919D2" w:rsidRPr="002C707F" w:rsidRDefault="002919D2" w:rsidP="002C707F">
      <w:pPr>
        <w:pStyle w:val="Kopfzeile"/>
        <w:tabs>
          <w:tab w:val="clear" w:pos="4536"/>
          <w:tab w:val="clear" w:pos="9072"/>
        </w:tabs>
        <w:jc w:val="both"/>
        <w:rPr>
          <w:rFonts w:ascii="Verdana" w:hAnsi="Verdana"/>
          <w:sz w:val="20"/>
        </w:rPr>
      </w:pPr>
      <w:r w:rsidRPr="002C707F">
        <w:rPr>
          <w:rFonts w:ascii="Verdana" w:hAnsi="Verdana"/>
          <w:sz w:val="20"/>
        </w:rPr>
        <w:t>Die Originale sind nach Abschluss der Behandlung oder dann, wenn sie für die konkrete Behandlung nicht mehr benötigt werden, an den überlassenden Zahnarzt zurückzugeben.</w:t>
      </w:r>
    </w:p>
    <w:p w:rsidR="002919D2" w:rsidRPr="002C707F" w:rsidRDefault="002919D2" w:rsidP="002C707F">
      <w:pPr>
        <w:jc w:val="both"/>
        <w:rPr>
          <w:rFonts w:ascii="Verdana" w:hAnsi="Verdana"/>
          <w:sz w:val="20"/>
        </w:rPr>
      </w:pPr>
    </w:p>
    <w:p w:rsidR="002919D2" w:rsidRPr="002C707F" w:rsidRDefault="002919D2" w:rsidP="002C707F">
      <w:pPr>
        <w:jc w:val="both"/>
        <w:rPr>
          <w:rFonts w:ascii="Verdana" w:hAnsi="Verdana"/>
          <w:sz w:val="20"/>
        </w:rPr>
      </w:pPr>
      <w:r w:rsidRPr="002C707F">
        <w:rPr>
          <w:rFonts w:ascii="Verdana" w:hAnsi="Verdana"/>
          <w:sz w:val="20"/>
        </w:rPr>
        <w:t xml:space="preserve">Bei einer Anforderung zur Übersendung von Patientenunterlagen beispielsweise an </w:t>
      </w:r>
    </w:p>
    <w:p w:rsidR="00A44349" w:rsidRDefault="002919D2" w:rsidP="002C707F">
      <w:pPr>
        <w:pStyle w:val="Textkrper-Zeileneinzug"/>
        <w:ind w:left="0"/>
        <w:jc w:val="both"/>
        <w:rPr>
          <w:rFonts w:ascii="Verdana" w:hAnsi="Verdana"/>
          <w:sz w:val="20"/>
        </w:rPr>
      </w:pPr>
      <w:r w:rsidRPr="002C707F">
        <w:rPr>
          <w:rFonts w:ascii="Verdana" w:hAnsi="Verdana"/>
          <w:sz w:val="20"/>
        </w:rPr>
        <w:t xml:space="preserve">Private Versicherungen ist durch den Patienten eine schriftliche Entbindung von der Schweigepflicht notwendig. </w:t>
      </w:r>
    </w:p>
    <w:p w:rsidR="008775AB" w:rsidRDefault="008775AB" w:rsidP="002C707F">
      <w:pPr>
        <w:pStyle w:val="Textkrper-Zeileneinzug"/>
        <w:ind w:left="0"/>
        <w:jc w:val="both"/>
        <w:rPr>
          <w:rFonts w:ascii="Verdana" w:hAnsi="Verdana"/>
          <w:sz w:val="20"/>
        </w:rPr>
      </w:pPr>
      <w:bookmarkStart w:id="0" w:name="_GoBack"/>
      <w:bookmarkEnd w:id="0"/>
    </w:p>
    <w:p w:rsidR="00373132" w:rsidRDefault="002919D2" w:rsidP="002C707F">
      <w:pPr>
        <w:pStyle w:val="Textkrper-Zeileneinzug"/>
        <w:ind w:left="0"/>
        <w:jc w:val="both"/>
        <w:rPr>
          <w:rFonts w:ascii="Verdana" w:hAnsi="Verdana"/>
          <w:sz w:val="20"/>
        </w:rPr>
      </w:pPr>
      <w:r w:rsidRPr="002C707F">
        <w:rPr>
          <w:rFonts w:ascii="Verdana" w:hAnsi="Verdana"/>
          <w:sz w:val="20"/>
        </w:rPr>
        <w:t xml:space="preserve">Dabei ist vom Zahnarzt der Umfang der Entbindung streng zu beachten. </w:t>
      </w:r>
    </w:p>
    <w:p w:rsidR="002919D2" w:rsidRPr="002C707F" w:rsidRDefault="002919D2" w:rsidP="002C707F">
      <w:pPr>
        <w:pStyle w:val="Textkrper-Zeileneinzug"/>
        <w:ind w:left="0"/>
        <w:jc w:val="both"/>
        <w:rPr>
          <w:rFonts w:ascii="Verdana" w:hAnsi="Verdana"/>
          <w:sz w:val="20"/>
        </w:rPr>
      </w:pPr>
      <w:r w:rsidRPr="002C707F">
        <w:rPr>
          <w:rFonts w:ascii="Verdana" w:hAnsi="Verdana"/>
          <w:sz w:val="20"/>
        </w:rPr>
        <w:t>Der Vergütungs-Anspruch regelt sich in diesen Fällen nach BGB §§ 670 und 612 (1) (Vergütung je nach Zeitaufwand + Auslagenersatz).</w:t>
      </w:r>
    </w:p>
    <w:p w:rsidR="002919D2" w:rsidRPr="002C707F" w:rsidRDefault="002919D2" w:rsidP="002C707F">
      <w:pPr>
        <w:pStyle w:val="Kopfzeile"/>
        <w:tabs>
          <w:tab w:val="clear" w:pos="4536"/>
          <w:tab w:val="clear" w:pos="9072"/>
        </w:tabs>
        <w:jc w:val="both"/>
        <w:rPr>
          <w:rFonts w:ascii="Verdana" w:hAnsi="Verdana"/>
          <w:sz w:val="20"/>
        </w:rPr>
      </w:pPr>
    </w:p>
    <w:sectPr w:rsidR="002919D2" w:rsidRPr="002C707F" w:rsidSect="00B16340">
      <w:headerReference w:type="first" r:id="rId7"/>
      <w:pgSz w:w="11907" w:h="16840" w:code="9"/>
      <w:pgMar w:top="851" w:right="851" w:bottom="851" w:left="1134" w:header="680" w:footer="68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FC8" w:rsidRDefault="00ED7248">
      <w:r>
        <w:separator/>
      </w:r>
    </w:p>
  </w:endnote>
  <w:endnote w:type="continuationSeparator" w:id="0">
    <w:p w:rsidR="008D7FC8" w:rsidRDefault="00ED7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FC8" w:rsidRDefault="00ED7248">
      <w:r>
        <w:separator/>
      </w:r>
    </w:p>
  </w:footnote>
  <w:footnote w:type="continuationSeparator" w:id="0">
    <w:p w:rsidR="008D7FC8" w:rsidRDefault="00ED72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101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7586"/>
      <w:gridCol w:w="2586"/>
    </w:tblGrid>
    <w:tr w:rsidR="0041241C" w:rsidTr="00BC6988">
      <w:trPr>
        <w:trHeight w:hRule="exact" w:val="2552"/>
      </w:trPr>
      <w:tc>
        <w:tcPr>
          <w:tcW w:w="7655" w:type="dxa"/>
          <w:shd w:val="clear" w:color="auto" w:fill="8C8FAF"/>
          <w:vAlign w:val="center"/>
        </w:tcPr>
        <w:p w:rsidR="0041241C" w:rsidRPr="002C707F" w:rsidRDefault="0041241C" w:rsidP="002919D2">
          <w:pPr>
            <w:jc w:val="center"/>
            <w:rPr>
              <w:rFonts w:ascii="Verdana" w:hAnsi="Verdana"/>
              <w:color w:val="FFFFFF"/>
              <w:szCs w:val="24"/>
            </w:rPr>
          </w:pPr>
          <w:r w:rsidRPr="002C707F">
            <w:rPr>
              <w:rFonts w:ascii="Verdana" w:hAnsi="Verdana"/>
              <w:color w:val="FFFFFF"/>
              <w:szCs w:val="24"/>
            </w:rPr>
            <w:t>H</w:t>
          </w:r>
          <w:r w:rsidR="008775AB">
            <w:rPr>
              <w:rFonts w:ascii="Verdana" w:hAnsi="Verdana"/>
              <w:color w:val="FFFFFF"/>
              <w:szCs w:val="24"/>
            </w:rPr>
            <w:t>erausgabe / Einsichtsrecht</w:t>
          </w:r>
          <w:r w:rsidRPr="002C707F">
            <w:rPr>
              <w:rFonts w:ascii="Verdana" w:hAnsi="Verdana"/>
              <w:color w:val="FFFFFF"/>
              <w:szCs w:val="24"/>
            </w:rPr>
            <w:t xml:space="preserve"> von Behandlungsunterlagen</w:t>
          </w:r>
        </w:p>
        <w:p w:rsidR="0041241C" w:rsidRPr="002C707F" w:rsidRDefault="0041241C" w:rsidP="002919D2">
          <w:pPr>
            <w:jc w:val="both"/>
            <w:rPr>
              <w:rFonts w:ascii="Verdana" w:hAnsi="Verdana"/>
              <w:szCs w:val="24"/>
            </w:rPr>
          </w:pPr>
        </w:p>
        <w:p w:rsidR="0041241C" w:rsidRPr="00954D3F" w:rsidRDefault="0041241C" w:rsidP="007D03FA">
          <w:pPr>
            <w:pStyle w:val="Kopfzeile"/>
            <w:tabs>
              <w:tab w:val="clear" w:pos="4536"/>
              <w:tab w:val="clear" w:pos="9072"/>
            </w:tabs>
            <w:jc w:val="center"/>
            <w:rPr>
              <w:rFonts w:ascii="Arial" w:hAnsi="Arial" w:cs="Arial"/>
              <w:color w:val="FFFFFF"/>
              <w:sz w:val="28"/>
              <w:szCs w:val="28"/>
            </w:rPr>
          </w:pPr>
          <w:r w:rsidRPr="002C707F">
            <w:rPr>
              <w:rFonts w:ascii="Verdana" w:hAnsi="Verdana" w:cs="Arial"/>
              <w:color w:val="FFFFFF"/>
              <w:szCs w:val="24"/>
            </w:rPr>
            <w:t>Patienteninformation</w:t>
          </w:r>
        </w:p>
      </w:tc>
      <w:tc>
        <w:tcPr>
          <w:tcW w:w="2608" w:type="dxa"/>
        </w:tcPr>
        <w:p w:rsidR="0041241C" w:rsidRDefault="00ED7248" w:rsidP="007D03FA">
          <w:pPr>
            <w:pStyle w:val="Kopfzeile"/>
            <w:tabs>
              <w:tab w:val="clear" w:pos="4536"/>
            </w:tabs>
            <w:ind w:left="-73"/>
          </w:pPr>
          <w:r>
            <w:rPr>
              <w:noProof/>
            </w:rPr>
            <w:drawing>
              <wp:inline distT="0" distB="0" distL="0" distR="0" wp14:anchorId="40BF8832" wp14:editId="0ED8BDAF">
                <wp:extent cx="1584960" cy="1619250"/>
                <wp:effectExtent l="0" t="0" r="0" b="0"/>
                <wp:docPr id="1" name="Bild 1" descr="LZKTh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ZKTh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4960" cy="161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41241C" w:rsidRDefault="0041241C" w:rsidP="007D03FA">
          <w:pPr>
            <w:pStyle w:val="Kopfzeile"/>
            <w:jc w:val="right"/>
          </w:pPr>
        </w:p>
      </w:tc>
    </w:tr>
  </w:tbl>
  <w:p w:rsidR="0041241C" w:rsidRPr="00954D3F" w:rsidRDefault="0041241C">
    <w:pPr>
      <w:pStyle w:val="Kopfzeile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B186D"/>
    <w:multiLevelType w:val="multilevel"/>
    <w:tmpl w:val="60D43E44"/>
    <w:styleLink w:val="Aufzhlung"/>
    <w:lvl w:ilvl="0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/>
        <w:color w:val="40005F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924"/>
    <w:rsid w:val="000342AB"/>
    <w:rsid w:val="00051432"/>
    <w:rsid w:val="000A2CB7"/>
    <w:rsid w:val="000A54B8"/>
    <w:rsid w:val="000A77C1"/>
    <w:rsid w:val="000B16A9"/>
    <w:rsid w:val="000E03BF"/>
    <w:rsid w:val="000E23A3"/>
    <w:rsid w:val="00101995"/>
    <w:rsid w:val="00103C80"/>
    <w:rsid w:val="001122A7"/>
    <w:rsid w:val="00143609"/>
    <w:rsid w:val="00174F80"/>
    <w:rsid w:val="001D2105"/>
    <w:rsid w:val="00210C2F"/>
    <w:rsid w:val="00212E82"/>
    <w:rsid w:val="00240E36"/>
    <w:rsid w:val="002417C1"/>
    <w:rsid w:val="00245ABA"/>
    <w:rsid w:val="002475C0"/>
    <w:rsid w:val="00270B17"/>
    <w:rsid w:val="0027357F"/>
    <w:rsid w:val="00290731"/>
    <w:rsid w:val="002919D2"/>
    <w:rsid w:val="002940B8"/>
    <w:rsid w:val="002B1A44"/>
    <w:rsid w:val="002C707F"/>
    <w:rsid w:val="002E6D1A"/>
    <w:rsid w:val="002E74D9"/>
    <w:rsid w:val="00301A52"/>
    <w:rsid w:val="00302932"/>
    <w:rsid w:val="00306C0D"/>
    <w:rsid w:val="00316272"/>
    <w:rsid w:val="0032474A"/>
    <w:rsid w:val="00327AC4"/>
    <w:rsid w:val="00327C65"/>
    <w:rsid w:val="003310CE"/>
    <w:rsid w:val="00333996"/>
    <w:rsid w:val="003660D1"/>
    <w:rsid w:val="00373132"/>
    <w:rsid w:val="003867E7"/>
    <w:rsid w:val="00387F17"/>
    <w:rsid w:val="003A77B3"/>
    <w:rsid w:val="003D66C2"/>
    <w:rsid w:val="0041241C"/>
    <w:rsid w:val="004652CA"/>
    <w:rsid w:val="0047176F"/>
    <w:rsid w:val="00477F61"/>
    <w:rsid w:val="0048453B"/>
    <w:rsid w:val="00491629"/>
    <w:rsid w:val="004A0BD3"/>
    <w:rsid w:val="004C663A"/>
    <w:rsid w:val="004D3999"/>
    <w:rsid w:val="004E3903"/>
    <w:rsid w:val="004E4404"/>
    <w:rsid w:val="004F505D"/>
    <w:rsid w:val="0050434E"/>
    <w:rsid w:val="0050628E"/>
    <w:rsid w:val="0050731D"/>
    <w:rsid w:val="00523E4F"/>
    <w:rsid w:val="00530EA2"/>
    <w:rsid w:val="00551FCB"/>
    <w:rsid w:val="00555CCD"/>
    <w:rsid w:val="00562EF1"/>
    <w:rsid w:val="005816A0"/>
    <w:rsid w:val="00584961"/>
    <w:rsid w:val="00584C2B"/>
    <w:rsid w:val="005A1D4F"/>
    <w:rsid w:val="005A51ED"/>
    <w:rsid w:val="005B07C1"/>
    <w:rsid w:val="005B1EC2"/>
    <w:rsid w:val="005B4094"/>
    <w:rsid w:val="005C0359"/>
    <w:rsid w:val="00617863"/>
    <w:rsid w:val="00622927"/>
    <w:rsid w:val="00637EA3"/>
    <w:rsid w:val="00651EEC"/>
    <w:rsid w:val="00665590"/>
    <w:rsid w:val="00670924"/>
    <w:rsid w:val="0068696E"/>
    <w:rsid w:val="006952AF"/>
    <w:rsid w:val="006B17C4"/>
    <w:rsid w:val="006B4EC3"/>
    <w:rsid w:val="006C52CD"/>
    <w:rsid w:val="006E6F13"/>
    <w:rsid w:val="006E7DAC"/>
    <w:rsid w:val="006F7EBE"/>
    <w:rsid w:val="00733F08"/>
    <w:rsid w:val="00734D16"/>
    <w:rsid w:val="007563CB"/>
    <w:rsid w:val="00775807"/>
    <w:rsid w:val="00790E5C"/>
    <w:rsid w:val="007C094A"/>
    <w:rsid w:val="007C74E8"/>
    <w:rsid w:val="007D03FA"/>
    <w:rsid w:val="007D3C29"/>
    <w:rsid w:val="007E3D0D"/>
    <w:rsid w:val="008049FC"/>
    <w:rsid w:val="0080615B"/>
    <w:rsid w:val="00807083"/>
    <w:rsid w:val="00811530"/>
    <w:rsid w:val="00825772"/>
    <w:rsid w:val="00833700"/>
    <w:rsid w:val="00834907"/>
    <w:rsid w:val="00857A58"/>
    <w:rsid w:val="00866791"/>
    <w:rsid w:val="008775AB"/>
    <w:rsid w:val="00890086"/>
    <w:rsid w:val="00895A74"/>
    <w:rsid w:val="008A4698"/>
    <w:rsid w:val="008B1452"/>
    <w:rsid w:val="008B2ED8"/>
    <w:rsid w:val="008C0EE2"/>
    <w:rsid w:val="008C43E3"/>
    <w:rsid w:val="008C620B"/>
    <w:rsid w:val="008D7FC8"/>
    <w:rsid w:val="009003B8"/>
    <w:rsid w:val="00915D74"/>
    <w:rsid w:val="009334CD"/>
    <w:rsid w:val="009524B7"/>
    <w:rsid w:val="00954D3F"/>
    <w:rsid w:val="00984280"/>
    <w:rsid w:val="0099083F"/>
    <w:rsid w:val="009960B6"/>
    <w:rsid w:val="00997BD8"/>
    <w:rsid w:val="009C19A2"/>
    <w:rsid w:val="009D3247"/>
    <w:rsid w:val="009F580B"/>
    <w:rsid w:val="00A05232"/>
    <w:rsid w:val="00A44349"/>
    <w:rsid w:val="00A56B35"/>
    <w:rsid w:val="00A64EC3"/>
    <w:rsid w:val="00A66379"/>
    <w:rsid w:val="00A676DA"/>
    <w:rsid w:val="00A86D30"/>
    <w:rsid w:val="00A95768"/>
    <w:rsid w:val="00A97DAD"/>
    <w:rsid w:val="00AA5FFF"/>
    <w:rsid w:val="00AB7C9F"/>
    <w:rsid w:val="00AD2E09"/>
    <w:rsid w:val="00AE3FBD"/>
    <w:rsid w:val="00AF17A2"/>
    <w:rsid w:val="00B016E8"/>
    <w:rsid w:val="00B16340"/>
    <w:rsid w:val="00B4571E"/>
    <w:rsid w:val="00B62E38"/>
    <w:rsid w:val="00B9302C"/>
    <w:rsid w:val="00BA331F"/>
    <w:rsid w:val="00BC6988"/>
    <w:rsid w:val="00BC73E2"/>
    <w:rsid w:val="00BC7B5D"/>
    <w:rsid w:val="00BD31ED"/>
    <w:rsid w:val="00BE43DB"/>
    <w:rsid w:val="00BF418A"/>
    <w:rsid w:val="00C079AA"/>
    <w:rsid w:val="00C10535"/>
    <w:rsid w:val="00C12483"/>
    <w:rsid w:val="00C2216F"/>
    <w:rsid w:val="00C245A2"/>
    <w:rsid w:val="00C3061A"/>
    <w:rsid w:val="00C57FA8"/>
    <w:rsid w:val="00C67A5F"/>
    <w:rsid w:val="00C7211B"/>
    <w:rsid w:val="00C94009"/>
    <w:rsid w:val="00CB142B"/>
    <w:rsid w:val="00CB27C7"/>
    <w:rsid w:val="00CB6D9D"/>
    <w:rsid w:val="00CD6ADE"/>
    <w:rsid w:val="00CE5035"/>
    <w:rsid w:val="00D07812"/>
    <w:rsid w:val="00D2672D"/>
    <w:rsid w:val="00D277B3"/>
    <w:rsid w:val="00D36A11"/>
    <w:rsid w:val="00D73BE5"/>
    <w:rsid w:val="00D73D4B"/>
    <w:rsid w:val="00DA0542"/>
    <w:rsid w:val="00DA7E43"/>
    <w:rsid w:val="00DE4DD8"/>
    <w:rsid w:val="00DF2A7A"/>
    <w:rsid w:val="00E06403"/>
    <w:rsid w:val="00E1075E"/>
    <w:rsid w:val="00E53B97"/>
    <w:rsid w:val="00E6386C"/>
    <w:rsid w:val="00E75F72"/>
    <w:rsid w:val="00EA5EF1"/>
    <w:rsid w:val="00ED7248"/>
    <w:rsid w:val="00ED794A"/>
    <w:rsid w:val="00EE44DD"/>
    <w:rsid w:val="00F1567D"/>
    <w:rsid w:val="00F21C27"/>
    <w:rsid w:val="00F36828"/>
    <w:rsid w:val="00F63C6B"/>
    <w:rsid w:val="00F720F4"/>
    <w:rsid w:val="00F80497"/>
    <w:rsid w:val="00F83465"/>
    <w:rsid w:val="00F914EF"/>
    <w:rsid w:val="00F918E7"/>
    <w:rsid w:val="00FA12DE"/>
    <w:rsid w:val="00FB2ED3"/>
    <w:rsid w:val="00FE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564455"/>
  <w15:docId w15:val="{1529853D-92A5-4FC6-8BA6-30D0355E5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919D2"/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212E82"/>
    <w:rPr>
      <w:color w:val="9E445D"/>
      <w:u w:val="single"/>
    </w:rPr>
  </w:style>
  <w:style w:type="character" w:styleId="BesuchterLink">
    <w:name w:val="FollowedHyperlink"/>
    <w:basedOn w:val="Absatz-Standardschriftart"/>
    <w:rsid w:val="00212E82"/>
    <w:rPr>
      <w:color w:val="A99EBC"/>
      <w:u w:val="single"/>
    </w:rPr>
  </w:style>
  <w:style w:type="numbering" w:customStyle="1" w:styleId="Aufzhlung">
    <w:name w:val="Aufzählung"/>
    <w:basedOn w:val="KeineListe"/>
    <w:rsid w:val="00212E82"/>
    <w:pPr>
      <w:numPr>
        <w:numId w:val="1"/>
      </w:numPr>
    </w:pPr>
  </w:style>
  <w:style w:type="paragraph" w:styleId="Kopfzeile">
    <w:name w:val="header"/>
    <w:basedOn w:val="Standard"/>
    <w:rsid w:val="00C9400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94009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C940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50731D"/>
    <w:rPr>
      <w:rFonts w:ascii="Tahoma" w:hAnsi="Tahoma" w:cs="Tahoma"/>
      <w:sz w:val="16"/>
      <w:szCs w:val="16"/>
    </w:rPr>
  </w:style>
  <w:style w:type="paragraph" w:styleId="Textkrper-Zeileneinzug">
    <w:name w:val="Body Text Indent"/>
    <w:basedOn w:val="Standard"/>
    <w:rsid w:val="002919D2"/>
    <w:pPr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LZKTh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Grobe</dc:creator>
  <cp:lastModifiedBy>Ivonne Schroeder</cp:lastModifiedBy>
  <cp:revision>5</cp:revision>
  <cp:lastPrinted>2014-01-31T07:36:00Z</cp:lastPrinted>
  <dcterms:created xsi:type="dcterms:W3CDTF">2019-01-29T10:28:00Z</dcterms:created>
  <dcterms:modified xsi:type="dcterms:W3CDTF">2021-11-24T12:34:00Z</dcterms:modified>
</cp:coreProperties>
</file>